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0C" w:rsidRDefault="00BE420C"/>
    <w:p w:rsidR="00BE420C" w:rsidRDefault="00BE420C"/>
    <w:p w:rsidR="00BE420C" w:rsidRDefault="00BE420C" w:rsidP="00DA580C">
      <w:pPr>
        <w:jc w:val="center"/>
        <w:rPr>
          <w:b/>
          <w:sz w:val="60"/>
          <w:szCs w:val="60"/>
        </w:rPr>
      </w:pPr>
      <w:r w:rsidRPr="00FF77FE">
        <w:rPr>
          <w:b/>
          <w:sz w:val="60"/>
          <w:szCs w:val="60"/>
        </w:rPr>
        <w:t>ZADÁVACÍ DOKUMENTACE</w:t>
      </w:r>
    </w:p>
    <w:p w:rsidR="00CB1221" w:rsidRPr="00CB1221" w:rsidRDefault="00CB1221" w:rsidP="00DA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1 Výzvy k podání nabídek</w:t>
      </w: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3"/>
        <w:gridCol w:w="7335"/>
      </w:tblGrid>
      <w:tr w:rsidR="00BE420C" w:rsidRPr="00DC3A2E" w:rsidTr="00DC3A2E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Název zakázky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Vzdělávání pedagogických pracovníků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Název projektu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Posílení a zefektivnění vzdělávacího procesu pedagogických pracovníků Základní školy a Mateřské školy, Znojmo, Pražská 98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Registrační číslo projektu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CZ.1.07/1.3.41/02.0007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Zadavatel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Základní škola a Mateřská škola, Znojmo, Pražská 98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Adresa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Pražská 98/3451, 669 02 Znojmo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Právní forma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Příspěvková organizace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IČ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45669716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DIČ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CZ45669716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Webové stránky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37633B" w:rsidP="00DC3A2E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BE420C" w:rsidRPr="00DC3A2E">
                <w:rPr>
                  <w:rStyle w:val="Hypertextovodkaz"/>
                  <w:sz w:val="24"/>
                  <w:szCs w:val="24"/>
                </w:rPr>
                <w:t>www.zsprazska.cz</w:t>
              </w:r>
            </w:hyperlink>
          </w:p>
        </w:tc>
      </w:tr>
      <w:tr w:rsidR="00BE420C" w:rsidRPr="00DC3A2E" w:rsidTr="00DC3A2E"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Kontaktní osoba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PaedDr. Pavel Trulík, ředitel školy, trulik.pavel@zsprazska.cz</w:t>
            </w:r>
          </w:p>
        </w:tc>
      </w:tr>
    </w:tbl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Pr="00FF77FE" w:rsidRDefault="00DB78AF" w:rsidP="00780C83">
      <w:pPr>
        <w:pStyle w:val="Zpa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Výběrové</w:t>
      </w:r>
      <w:r w:rsidR="00BE420C" w:rsidRPr="00FF77FE">
        <w:rPr>
          <w:b/>
          <w:i/>
          <w:sz w:val="24"/>
          <w:szCs w:val="24"/>
        </w:rPr>
        <w:t xml:space="preserve"> řízení nespadá pod působnost zákona č. 137/2006 Sb., o veřejných zakázkách, ve znění pozdějších přepisů. </w:t>
      </w:r>
    </w:p>
    <w:p w:rsidR="00BE420C" w:rsidRPr="0029141B" w:rsidRDefault="00BE420C" w:rsidP="001150D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9141B">
        <w:rPr>
          <w:b/>
          <w:sz w:val="28"/>
          <w:szCs w:val="28"/>
        </w:rPr>
        <w:lastRenderedPageBreak/>
        <w:t>PŘEDMĚT ZAKÁZKY</w:t>
      </w:r>
    </w:p>
    <w:p w:rsidR="00BE420C" w:rsidRPr="006D439D" w:rsidRDefault="00BE420C" w:rsidP="00806487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 xml:space="preserve">Předmětem zakázky jsou vzdělávací kurzy pro pedagogické pracovníky naší školy. Celkem se jedná o </w:t>
      </w:r>
      <w:r w:rsidR="00BA7BAE" w:rsidRPr="006D439D">
        <w:rPr>
          <w:sz w:val="24"/>
          <w:szCs w:val="24"/>
        </w:rPr>
        <w:t>11</w:t>
      </w:r>
      <w:r w:rsidRPr="006D439D">
        <w:rPr>
          <w:sz w:val="24"/>
          <w:szCs w:val="24"/>
        </w:rPr>
        <w:t xml:space="preserve"> vzdělávacích programů rozdělených do </w:t>
      </w:r>
      <w:r w:rsidR="00BA7BAE" w:rsidRPr="006D439D">
        <w:rPr>
          <w:sz w:val="24"/>
          <w:szCs w:val="24"/>
        </w:rPr>
        <w:t>3</w:t>
      </w:r>
      <w:r w:rsidRPr="006D439D">
        <w:rPr>
          <w:sz w:val="24"/>
          <w:szCs w:val="24"/>
        </w:rPr>
        <w:t xml:space="preserve"> oblastí. </w:t>
      </w:r>
      <w:r w:rsidR="00DB78AF" w:rsidRPr="006D439D">
        <w:rPr>
          <w:sz w:val="24"/>
          <w:szCs w:val="24"/>
        </w:rPr>
        <w:t xml:space="preserve">Uchazeč se může přihlásit a podat nabídku do jedné, dvou nebo všech tří oblastí. </w:t>
      </w:r>
      <w:r w:rsidRPr="006D439D">
        <w:rPr>
          <w:sz w:val="24"/>
          <w:szCs w:val="24"/>
        </w:rPr>
        <w:t>Všechny kurzy</w:t>
      </w:r>
      <w:r w:rsidR="00BA7BAE" w:rsidRPr="006D439D">
        <w:rPr>
          <w:sz w:val="24"/>
          <w:szCs w:val="24"/>
        </w:rPr>
        <w:t xml:space="preserve"> </w:t>
      </w:r>
      <w:r w:rsidRPr="006D439D">
        <w:rPr>
          <w:sz w:val="24"/>
          <w:szCs w:val="24"/>
        </w:rPr>
        <w:t xml:space="preserve">musí být v době </w:t>
      </w:r>
      <w:r w:rsidR="00DB78AF" w:rsidRPr="006D439D">
        <w:rPr>
          <w:sz w:val="24"/>
          <w:szCs w:val="24"/>
        </w:rPr>
        <w:t>plnění školení</w:t>
      </w:r>
      <w:r w:rsidRPr="006D439D">
        <w:rPr>
          <w:sz w:val="24"/>
          <w:szCs w:val="24"/>
        </w:rPr>
        <w:t xml:space="preserve"> akreditovány Ministerstvem školství, mládeže a tělovýchovy v systému Dalšího vzdělávání pedagogických pracovníků. </w:t>
      </w:r>
      <w:r w:rsidR="00D66C2B" w:rsidRPr="006D439D">
        <w:rPr>
          <w:sz w:val="24"/>
          <w:szCs w:val="24"/>
        </w:rPr>
        <w:t xml:space="preserve">Uchazeč doloží k nabídce platné akreditace, nebo prohlášení o dodání akreditace do konce března 2014. </w:t>
      </w:r>
      <w:r w:rsidRPr="006D439D">
        <w:rPr>
          <w:sz w:val="24"/>
          <w:szCs w:val="24"/>
        </w:rPr>
        <w:t xml:space="preserve">Uvedené názvy kurzů jsou pouze orientační, uchazeči o zakázku dodají nabídku se svými </w:t>
      </w:r>
      <w:r w:rsidR="00DB78AF" w:rsidRPr="006D439D">
        <w:rPr>
          <w:sz w:val="24"/>
          <w:szCs w:val="24"/>
        </w:rPr>
        <w:t xml:space="preserve">akreditovanými </w:t>
      </w:r>
      <w:r w:rsidRPr="006D439D">
        <w:rPr>
          <w:sz w:val="24"/>
          <w:szCs w:val="24"/>
        </w:rPr>
        <w:t xml:space="preserve">názvy kurzů, které se ovšem musí tematicky a obsahově shodovat s níže uvedeným. Harmonogram školení je pouze orientační, konkrétní termíny budou domluveny s vítězem </w:t>
      </w:r>
      <w:r w:rsidR="00DB78AF" w:rsidRPr="006D439D">
        <w:rPr>
          <w:sz w:val="24"/>
          <w:szCs w:val="24"/>
        </w:rPr>
        <w:t>výběrového</w:t>
      </w:r>
      <w:r w:rsidRPr="006D439D">
        <w:rPr>
          <w:sz w:val="24"/>
          <w:szCs w:val="24"/>
        </w:rPr>
        <w:t xml:space="preserve"> řízení. Zadavatel si vyhrazuje právo změnit harmonogram kurzů dle svých potřeb.</w:t>
      </w:r>
    </w:p>
    <w:p w:rsidR="00D66C2B" w:rsidRPr="006D439D" w:rsidRDefault="00D66C2B" w:rsidP="00806487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>Podklady ke kurzům: každý účastník obdrží na každém kurzu tištěné vzdělávací materiály, které pak účastníkovi zůstanou. Dále bude na každém školení prezenční listina</w:t>
      </w:r>
      <w:r w:rsidR="002648AD" w:rsidRPr="006D439D">
        <w:rPr>
          <w:sz w:val="24"/>
          <w:szCs w:val="24"/>
        </w:rPr>
        <w:t>, která pak zůstane zadavateli. Po ukončení kurzu obdrží každý účastník hodnotící dotazník ke zpracování. Tyto dotazníky opět zůstanou zadavateli. Úspěšní účastníci pak obdrží certifikát o absolvování kurzu. Všechny tyto podklady musí splňovat povin</w:t>
      </w:r>
      <w:r w:rsidR="00F536CC" w:rsidRPr="006D439D">
        <w:rPr>
          <w:sz w:val="24"/>
          <w:szCs w:val="24"/>
        </w:rPr>
        <w:t>n</w:t>
      </w:r>
      <w:r w:rsidR="002648AD" w:rsidRPr="006D439D">
        <w:rPr>
          <w:sz w:val="24"/>
          <w:szCs w:val="24"/>
        </w:rPr>
        <w:t xml:space="preserve">ou publicitu OP VK a musí obsahovat logo OP VK. </w:t>
      </w:r>
    </w:p>
    <w:p w:rsidR="00DB78AF" w:rsidRPr="006D439D" w:rsidRDefault="00BE420C" w:rsidP="00806487">
      <w:pPr>
        <w:jc w:val="both"/>
        <w:rPr>
          <w:b/>
          <w:sz w:val="24"/>
          <w:szCs w:val="24"/>
        </w:rPr>
      </w:pPr>
      <w:r w:rsidRPr="006D439D">
        <w:rPr>
          <w:b/>
          <w:sz w:val="24"/>
          <w:szCs w:val="24"/>
        </w:rPr>
        <w:t xml:space="preserve">Celková maximální přípustná cena je </w:t>
      </w:r>
      <w:r w:rsidR="002D7871" w:rsidRPr="006D439D">
        <w:rPr>
          <w:b/>
          <w:sz w:val="24"/>
          <w:szCs w:val="24"/>
        </w:rPr>
        <w:t>318</w:t>
      </w:r>
      <w:r w:rsidRPr="006D439D">
        <w:rPr>
          <w:b/>
        </w:rPr>
        <w:t> </w:t>
      </w:r>
      <w:r w:rsidR="002D7871" w:rsidRPr="006D439D">
        <w:rPr>
          <w:b/>
        </w:rPr>
        <w:t>250</w:t>
      </w:r>
      <w:r w:rsidRPr="006D439D">
        <w:rPr>
          <w:b/>
        </w:rPr>
        <w:t xml:space="preserve"> </w:t>
      </w:r>
      <w:r w:rsidRPr="006D439D">
        <w:rPr>
          <w:b/>
          <w:sz w:val="24"/>
          <w:szCs w:val="24"/>
        </w:rPr>
        <w:t>Kč</w:t>
      </w:r>
      <w:r w:rsidR="00DB78AF" w:rsidRPr="006D439D">
        <w:rPr>
          <w:b/>
          <w:sz w:val="24"/>
          <w:szCs w:val="24"/>
        </w:rPr>
        <w:t xml:space="preserve"> za celou zakázku</w:t>
      </w:r>
      <w:r w:rsidRPr="006D439D">
        <w:rPr>
          <w:b/>
          <w:sz w:val="24"/>
          <w:szCs w:val="24"/>
        </w:rPr>
        <w:t xml:space="preserve">. </w:t>
      </w:r>
    </w:p>
    <w:p w:rsidR="00DB78AF" w:rsidRPr="006D439D" w:rsidRDefault="00DB78AF" w:rsidP="00DB78AF">
      <w:pPr>
        <w:jc w:val="both"/>
        <w:rPr>
          <w:b/>
          <w:sz w:val="24"/>
          <w:szCs w:val="24"/>
        </w:rPr>
      </w:pPr>
      <w:r w:rsidRPr="006D439D">
        <w:rPr>
          <w:b/>
          <w:sz w:val="24"/>
          <w:szCs w:val="24"/>
        </w:rPr>
        <w:t>Celková maximální přípustná cena oblasti 1 je 63 500 Kč.</w:t>
      </w:r>
    </w:p>
    <w:p w:rsidR="00DB78AF" w:rsidRPr="006D439D" w:rsidRDefault="00DB78AF" w:rsidP="00DB78AF">
      <w:pPr>
        <w:jc w:val="both"/>
        <w:rPr>
          <w:b/>
          <w:sz w:val="24"/>
          <w:szCs w:val="24"/>
        </w:rPr>
      </w:pPr>
      <w:r w:rsidRPr="006D439D">
        <w:rPr>
          <w:b/>
          <w:sz w:val="24"/>
          <w:szCs w:val="24"/>
        </w:rPr>
        <w:t>Celková maximální přípustná cena oblasti 2 je 112 950 Kč.</w:t>
      </w:r>
    </w:p>
    <w:p w:rsidR="00DB78AF" w:rsidRPr="006D439D" w:rsidRDefault="00DB78AF" w:rsidP="00806487">
      <w:pPr>
        <w:jc w:val="both"/>
        <w:rPr>
          <w:b/>
          <w:sz w:val="24"/>
          <w:szCs w:val="24"/>
        </w:rPr>
      </w:pPr>
      <w:r w:rsidRPr="006D439D">
        <w:rPr>
          <w:b/>
          <w:sz w:val="24"/>
          <w:szCs w:val="24"/>
        </w:rPr>
        <w:t>Celková maximální přípustná cena oblasti 3 je 141 800 Kč.</w:t>
      </w:r>
    </w:p>
    <w:p w:rsidR="00BE420C" w:rsidRPr="006D439D" w:rsidRDefault="00BE420C" w:rsidP="00806487">
      <w:pPr>
        <w:jc w:val="both"/>
        <w:rPr>
          <w:b/>
          <w:sz w:val="24"/>
          <w:szCs w:val="24"/>
        </w:rPr>
      </w:pPr>
      <w:r w:rsidRPr="006D439D">
        <w:rPr>
          <w:b/>
          <w:sz w:val="24"/>
          <w:szCs w:val="24"/>
        </w:rPr>
        <w:t xml:space="preserve">Celková maximální přípustná cena každého kurzu je uvedena v tabulkách níže. </w:t>
      </w:r>
      <w:r w:rsidR="00862E41" w:rsidRPr="006D439D">
        <w:rPr>
          <w:b/>
          <w:sz w:val="24"/>
          <w:szCs w:val="24"/>
        </w:rPr>
        <w:t xml:space="preserve">Tyto maximální ceny pro jednotlivé kurzy musí být dodrženy. </w:t>
      </w:r>
      <w:r w:rsidRPr="006D439D">
        <w:rPr>
          <w:b/>
          <w:sz w:val="24"/>
          <w:szCs w:val="24"/>
        </w:rPr>
        <w:t>Jelikož se jedná o kurzy, které jsou akreditovány Ministerstvem školství, mládeže a tělovýchovy, jsou osvobozené od DPH.</w:t>
      </w:r>
    </w:p>
    <w:p w:rsidR="00BE420C" w:rsidRPr="006D439D" w:rsidRDefault="00BE420C" w:rsidP="00806487">
      <w:pPr>
        <w:jc w:val="both"/>
        <w:rPr>
          <w:sz w:val="24"/>
          <w:szCs w:val="24"/>
        </w:rPr>
      </w:pPr>
    </w:p>
    <w:p w:rsidR="00BE420C" w:rsidRPr="006D439D" w:rsidRDefault="00BE420C" w:rsidP="00806487">
      <w:pPr>
        <w:jc w:val="both"/>
        <w:rPr>
          <w:b/>
          <w:sz w:val="24"/>
          <w:szCs w:val="24"/>
        </w:rPr>
      </w:pPr>
      <w:r w:rsidRPr="006D439D">
        <w:rPr>
          <w:b/>
          <w:sz w:val="24"/>
          <w:szCs w:val="24"/>
        </w:rPr>
        <w:t>OBLAST KURZŮ 01</w:t>
      </w:r>
    </w:p>
    <w:p w:rsidR="00BE420C" w:rsidRDefault="00BE420C" w:rsidP="00806487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>Kurzy zaměřené na profesní rozvoj pedagogických pracovníků v dovednostech ovlivňujících kvalitu a efektivitu vzdělávání, jmenovitě dovednosti řešení konfliktů a prevence stresu,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využití emočního managementu ve výchovně vzdělávacím programu školy, efektivní komunikace.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197"/>
        <w:gridCol w:w="1144"/>
        <w:gridCol w:w="2442"/>
        <w:gridCol w:w="1505"/>
      </w:tblGrid>
      <w:tr w:rsidR="00BE420C" w:rsidRPr="00DC3A2E" w:rsidTr="00DC3A2E">
        <w:tc>
          <w:tcPr>
            <w:tcW w:w="0" w:type="auto"/>
            <w:tcBorders>
              <w:top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Název kurzu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skupin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osob ve skupině/celkem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Cena pro 1 skupinu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Využití emočního managementu ve výchovně vzdělávacím programu školy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16.100,-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Konfliktní situace vyskytující se v pedagogické praxi a jejich řešení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15.650,-</w:t>
            </w:r>
          </w:p>
        </w:tc>
      </w:tr>
    </w:tbl>
    <w:p w:rsidR="00BE420C" w:rsidRDefault="00BE420C" w:rsidP="00806487">
      <w:pPr>
        <w:jc w:val="both"/>
        <w:rPr>
          <w:sz w:val="24"/>
          <w:szCs w:val="24"/>
        </w:rPr>
      </w:pP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Vždy 2 vzdělávací programy, každý o délce 8 vyučovacích hodin, budou spojeny do dvoudenních bloků, které budou realizovány pravděpodobně v únoru 2014 mimo pracoviště </w:t>
      </w:r>
      <w:r w:rsidRPr="006D439D">
        <w:rPr>
          <w:sz w:val="24"/>
          <w:szCs w:val="24"/>
        </w:rPr>
        <w:t>školy. Změna termínů je možná pouze po dohodě se zadavatelem.</w:t>
      </w:r>
      <w:r w:rsidR="00862E41" w:rsidRPr="006D439D">
        <w:rPr>
          <w:sz w:val="24"/>
          <w:szCs w:val="24"/>
        </w:rPr>
        <w:t xml:space="preserve"> Místo školení a služby spojené s nájmem učeben, ubytováním a občerstvením zajistí zadavatel výběrového řízení.</w:t>
      </w:r>
    </w:p>
    <w:p w:rsidR="002D7871" w:rsidRDefault="002D7871" w:rsidP="00806487">
      <w:pPr>
        <w:jc w:val="both"/>
        <w:rPr>
          <w:b/>
          <w:sz w:val="24"/>
          <w:szCs w:val="24"/>
        </w:rPr>
      </w:pPr>
    </w:p>
    <w:p w:rsidR="00BE420C" w:rsidRPr="009310B6" w:rsidRDefault="00BE420C" w:rsidP="00806487">
      <w:pPr>
        <w:jc w:val="both"/>
        <w:rPr>
          <w:b/>
          <w:sz w:val="24"/>
          <w:szCs w:val="24"/>
        </w:rPr>
      </w:pPr>
      <w:r w:rsidRPr="009310B6">
        <w:rPr>
          <w:b/>
          <w:sz w:val="24"/>
          <w:szCs w:val="24"/>
        </w:rPr>
        <w:t>OBLAST KURZŮ</w:t>
      </w:r>
      <w:r>
        <w:rPr>
          <w:b/>
          <w:sz w:val="24"/>
          <w:szCs w:val="24"/>
        </w:rPr>
        <w:t xml:space="preserve"> 02</w:t>
      </w: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>Kurzy zaměřené na používání nových metod a forem práce ve výuce, konkrétně projektové a kreativní vyučování, týmová práce žáků, používání nových metod výuky volnočasových aktivit.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629"/>
        <w:gridCol w:w="1254"/>
        <w:gridCol w:w="2701"/>
        <w:gridCol w:w="1704"/>
      </w:tblGrid>
      <w:tr w:rsidR="00BE420C" w:rsidRPr="00DC3A2E" w:rsidTr="00DC3A2E">
        <w:tc>
          <w:tcPr>
            <w:tcW w:w="0" w:type="auto"/>
            <w:tcBorders>
              <w:top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Název kurzu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skupin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osob ve skupině/celkem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Cena pro 1 skupinu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 xml:space="preserve">Rozvoj týmové práce u žáků – využití v praxi  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16.500,-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Realizujeme projekty ve výuce a učíme tím žáky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16.500,-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Kreativita ve výuce – její využití a rozvoj u žáků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15.650,-</w:t>
            </w:r>
          </w:p>
        </w:tc>
      </w:tr>
      <w:tr w:rsidR="00BE420C" w:rsidRPr="00DC3A2E" w:rsidTr="00DC3A2E">
        <w:tc>
          <w:tcPr>
            <w:tcW w:w="0" w:type="auto"/>
            <w:tcBorders>
              <w:bottom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Nové metody výuky volnočasových aktivit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7/7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15.650,-</w:t>
            </w:r>
          </w:p>
        </w:tc>
      </w:tr>
    </w:tbl>
    <w:p w:rsidR="00BE420C" w:rsidRDefault="00BE420C" w:rsidP="00806487">
      <w:pPr>
        <w:jc w:val="both"/>
        <w:rPr>
          <w:sz w:val="24"/>
          <w:szCs w:val="24"/>
        </w:rPr>
      </w:pP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>Kurz „Realizujeme projekty ve výuce a učíme tím žáky“ požadujeme v délce 6 vyučovacích hodin, ostatní kurzy požadujeme v délce 8 vyučovacích hodin.</w:t>
      </w:r>
    </w:p>
    <w:p w:rsidR="00BE420C" w:rsidRDefault="00BE420C" w:rsidP="00E91ADF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lastRenderedPageBreak/>
        <w:t>Kurzy by měly být realizovány pravděpodobně v </w:t>
      </w:r>
      <w:r w:rsidR="00227F60" w:rsidRPr="006D439D">
        <w:rPr>
          <w:sz w:val="24"/>
          <w:szCs w:val="24"/>
        </w:rPr>
        <w:t>lednu</w:t>
      </w:r>
      <w:r w:rsidRPr="006D439D">
        <w:rPr>
          <w:sz w:val="24"/>
          <w:szCs w:val="24"/>
        </w:rPr>
        <w:t xml:space="preserve">, únoru, dubnu a červnu 2014 v učebnách školy. </w:t>
      </w:r>
      <w:r w:rsidR="00227F60" w:rsidRPr="006D439D">
        <w:rPr>
          <w:sz w:val="24"/>
          <w:szCs w:val="24"/>
        </w:rPr>
        <w:t xml:space="preserve">Občerstvení ke kurzům zajistí zadavatel. </w:t>
      </w:r>
      <w:r w:rsidRPr="006D439D">
        <w:rPr>
          <w:sz w:val="24"/>
          <w:szCs w:val="24"/>
        </w:rPr>
        <w:t>Změna termínů je možná pouze po dohodě se zadavatelem.</w:t>
      </w:r>
    </w:p>
    <w:p w:rsidR="00BE420C" w:rsidRPr="00012510" w:rsidRDefault="00BE420C" w:rsidP="00806487">
      <w:pPr>
        <w:jc w:val="both"/>
        <w:rPr>
          <w:b/>
          <w:sz w:val="24"/>
          <w:szCs w:val="24"/>
        </w:rPr>
      </w:pPr>
      <w:r w:rsidRPr="00012510">
        <w:rPr>
          <w:b/>
          <w:sz w:val="24"/>
          <w:szCs w:val="24"/>
        </w:rPr>
        <w:t>OBLAST KURZŮ</w:t>
      </w:r>
      <w:r>
        <w:rPr>
          <w:b/>
          <w:sz w:val="24"/>
          <w:szCs w:val="24"/>
        </w:rPr>
        <w:t xml:space="preserve"> 0</w:t>
      </w:r>
      <w:r w:rsidR="00E54B16">
        <w:rPr>
          <w:b/>
          <w:sz w:val="24"/>
          <w:szCs w:val="24"/>
        </w:rPr>
        <w:t>3</w:t>
      </w: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Kurzy zaměřené na profesní rozvoj pedagogických pracovníků v zacházení s ICT technikou </w:t>
      </w:r>
      <w:r>
        <w:rPr>
          <w:sz w:val="24"/>
          <w:szCs w:val="24"/>
        </w:rPr>
        <w:br/>
        <w:t>a v ICT dovednostech včetně používání programů potřebných pro tvorbu výukových aplikací.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025"/>
        <w:gridCol w:w="1177"/>
        <w:gridCol w:w="2521"/>
        <w:gridCol w:w="1565"/>
      </w:tblGrid>
      <w:tr w:rsidR="00BE420C" w:rsidRPr="00DC3A2E" w:rsidTr="00DC3A2E">
        <w:tc>
          <w:tcPr>
            <w:tcW w:w="0" w:type="auto"/>
            <w:tcBorders>
              <w:top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Název kurzu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skupin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osob ve skupině/celkem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Cena pro 1 skupinu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Jak připravit prezentaci v MS PowerPoint pro začátečníky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13.850,-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Jak připravit prezentaci v MS PowerPoint pro pokročilé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14.150,-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Tvorba výukových podkladů a materiálů v MS Excel pro začátečníky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13.850,-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Tvorba výukových podkladů a materiálů v MS Excel pro pokročilé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14.150,-</w:t>
            </w:r>
          </w:p>
        </w:tc>
      </w:tr>
      <w:tr w:rsidR="00BE420C" w:rsidRPr="00DC3A2E" w:rsidTr="00DC3A2E">
        <w:tc>
          <w:tcPr>
            <w:tcW w:w="0" w:type="auto"/>
            <w:tcBorders>
              <w:bottom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Používáme interaktivní tabuli ve výuce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14.900,-</w:t>
            </w:r>
          </w:p>
        </w:tc>
      </w:tr>
    </w:tbl>
    <w:p w:rsidR="00BE420C" w:rsidRDefault="00BE420C" w:rsidP="00F95442">
      <w:pPr>
        <w:jc w:val="both"/>
        <w:rPr>
          <w:sz w:val="24"/>
          <w:szCs w:val="24"/>
        </w:rPr>
      </w:pPr>
    </w:p>
    <w:p w:rsidR="00BE420C" w:rsidRDefault="00BE420C" w:rsidP="00F95442">
      <w:pPr>
        <w:jc w:val="both"/>
        <w:rPr>
          <w:sz w:val="24"/>
          <w:szCs w:val="24"/>
        </w:rPr>
      </w:pPr>
      <w:r>
        <w:rPr>
          <w:sz w:val="24"/>
          <w:szCs w:val="24"/>
        </w:rPr>
        <w:t>Kurzy „Jak připravit prezentaci v MS PowerPoint pro začátečníky“, „Jak připravit prezentaci v MS PowerPoint pro pokročilé“, a „Používáme interaktivní tabuli“ požadujeme v délce 6 vyučovacích hodin. Kurzy „Tvorba výukových podkladů a materiálů v MS Excel pro začátečníky“ a „Tvorba výukových podkladů a materiálů v MS Excel pro pokročilé“ požadujeme v délce 7 vyučovacích hodin.</w:t>
      </w:r>
    </w:p>
    <w:p w:rsidR="00BE420C" w:rsidRDefault="00BE420C" w:rsidP="00F95442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 xml:space="preserve">Kurzy budou realizovány pravděpodobně v lednu, březnu, dubnu a květnu 2014 v učebnách naší školy. </w:t>
      </w:r>
      <w:r w:rsidR="00746B88" w:rsidRPr="006D439D">
        <w:rPr>
          <w:sz w:val="24"/>
          <w:szCs w:val="24"/>
        </w:rPr>
        <w:t xml:space="preserve">Občerstvení ke kurzům zajistí zadavatel. </w:t>
      </w:r>
      <w:r w:rsidRPr="006D439D">
        <w:rPr>
          <w:sz w:val="24"/>
          <w:szCs w:val="24"/>
        </w:rPr>
        <w:t>Změna termínů je možná pouze po dohodě se zadavatelem.</w:t>
      </w:r>
    </w:p>
    <w:p w:rsidR="002D7871" w:rsidRDefault="002D7871" w:rsidP="0042139F">
      <w:pPr>
        <w:jc w:val="both"/>
        <w:rPr>
          <w:b/>
          <w:sz w:val="28"/>
          <w:szCs w:val="28"/>
        </w:rPr>
      </w:pPr>
    </w:p>
    <w:p w:rsidR="00BE420C" w:rsidRPr="00AF3A0D" w:rsidRDefault="00BE420C" w:rsidP="0042139F">
      <w:pPr>
        <w:jc w:val="both"/>
        <w:rPr>
          <w:b/>
          <w:sz w:val="28"/>
          <w:szCs w:val="28"/>
        </w:rPr>
      </w:pPr>
      <w:r w:rsidRPr="00AF3A0D">
        <w:rPr>
          <w:b/>
          <w:sz w:val="28"/>
          <w:szCs w:val="28"/>
        </w:rPr>
        <w:t>ORGANIZACE VÝBĚROVÉHO ŘÍZENÍ</w:t>
      </w:r>
    </w:p>
    <w:p w:rsidR="009C1698" w:rsidRPr="006D439D" w:rsidRDefault="00BE420C" w:rsidP="0042139F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 xml:space="preserve">Datum zahájení řízení: </w:t>
      </w:r>
      <w:r w:rsidR="006D439D" w:rsidRPr="006D439D">
        <w:rPr>
          <w:sz w:val="24"/>
          <w:szCs w:val="24"/>
        </w:rPr>
        <w:t xml:space="preserve">12. 12. </w:t>
      </w:r>
      <w:r w:rsidR="009C1698" w:rsidRPr="006D439D">
        <w:rPr>
          <w:sz w:val="24"/>
          <w:szCs w:val="24"/>
        </w:rPr>
        <w:t>2013</w:t>
      </w:r>
    </w:p>
    <w:p w:rsidR="00BE420C" w:rsidRDefault="00BE420C" w:rsidP="0042139F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 xml:space="preserve">Termín pro podávání nabídek: </w:t>
      </w:r>
      <w:r w:rsidR="009C1698" w:rsidRPr="006D439D">
        <w:rPr>
          <w:sz w:val="24"/>
          <w:szCs w:val="24"/>
        </w:rPr>
        <w:t xml:space="preserve">od </w:t>
      </w:r>
      <w:r w:rsidR="006D439D">
        <w:rPr>
          <w:sz w:val="24"/>
          <w:szCs w:val="24"/>
        </w:rPr>
        <w:t xml:space="preserve">12. 12. </w:t>
      </w:r>
      <w:r w:rsidR="009C1698" w:rsidRPr="006D439D">
        <w:rPr>
          <w:sz w:val="24"/>
          <w:szCs w:val="24"/>
        </w:rPr>
        <w:t xml:space="preserve">2013 do </w:t>
      </w:r>
      <w:r w:rsidR="006D439D">
        <w:rPr>
          <w:sz w:val="24"/>
          <w:szCs w:val="24"/>
        </w:rPr>
        <w:t>2</w:t>
      </w:r>
      <w:r w:rsidR="000643C8">
        <w:rPr>
          <w:sz w:val="24"/>
          <w:szCs w:val="24"/>
        </w:rPr>
        <w:t>7</w:t>
      </w:r>
      <w:r w:rsidR="006D439D">
        <w:rPr>
          <w:sz w:val="24"/>
          <w:szCs w:val="24"/>
        </w:rPr>
        <w:t xml:space="preserve">. 12. </w:t>
      </w:r>
      <w:r w:rsidR="009C1698" w:rsidRPr="006D439D">
        <w:rPr>
          <w:sz w:val="24"/>
          <w:szCs w:val="24"/>
        </w:rPr>
        <w:t xml:space="preserve">2013 do </w:t>
      </w:r>
      <w:r w:rsidR="006D439D">
        <w:rPr>
          <w:sz w:val="24"/>
          <w:szCs w:val="24"/>
        </w:rPr>
        <w:t>12</w:t>
      </w:r>
      <w:r w:rsidR="009C1698" w:rsidRPr="006D439D">
        <w:rPr>
          <w:sz w:val="24"/>
          <w:szCs w:val="24"/>
        </w:rPr>
        <w:t xml:space="preserve"> hodin.</w:t>
      </w:r>
    </w:p>
    <w:p w:rsidR="00BE420C" w:rsidRDefault="00BE420C" w:rsidP="0042139F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lastRenderedPageBreak/>
        <w:t xml:space="preserve">Po ukončení termínu pro podávání nabídek bude zahájeno vyhodnocení všech došlých nabídek. </w:t>
      </w:r>
      <w:r w:rsidR="009C1698" w:rsidRPr="006D439D">
        <w:rPr>
          <w:sz w:val="24"/>
          <w:szCs w:val="24"/>
        </w:rPr>
        <w:t xml:space="preserve">Otevírání nabídek proběhne </w:t>
      </w:r>
      <w:r w:rsidR="006D439D">
        <w:rPr>
          <w:sz w:val="24"/>
          <w:szCs w:val="24"/>
        </w:rPr>
        <w:t xml:space="preserve">30. 12. 2013 </w:t>
      </w:r>
      <w:r w:rsidR="009C1698" w:rsidRPr="006D439D">
        <w:rPr>
          <w:sz w:val="24"/>
          <w:szCs w:val="24"/>
        </w:rPr>
        <w:t xml:space="preserve">v </w:t>
      </w:r>
      <w:r w:rsidR="006D439D">
        <w:rPr>
          <w:sz w:val="24"/>
          <w:szCs w:val="24"/>
        </w:rPr>
        <w:t>10</w:t>
      </w:r>
      <w:r w:rsidR="009C1698" w:rsidRPr="006D439D">
        <w:rPr>
          <w:sz w:val="24"/>
          <w:szCs w:val="24"/>
        </w:rPr>
        <w:t xml:space="preserve"> hodin </w:t>
      </w:r>
      <w:r w:rsidR="006D439D">
        <w:rPr>
          <w:sz w:val="24"/>
          <w:szCs w:val="24"/>
        </w:rPr>
        <w:t xml:space="preserve">v kanceláři vedoucí odboru školství Městského úřadu ve Znojmě. </w:t>
      </w:r>
      <w:r w:rsidRPr="006D439D">
        <w:rPr>
          <w:sz w:val="24"/>
          <w:szCs w:val="24"/>
        </w:rPr>
        <w:t>Pokud hodnotící komise u některé nabídky shledá, že není úplná nebo jasná, může vyzvat uchazeče k doplnění nabídky. Uchazeč má na doplnění své nabídky 3 pracovní dny.</w:t>
      </w:r>
    </w:p>
    <w:p w:rsidR="00BE420C" w:rsidRDefault="00BE420C" w:rsidP="001A3824">
      <w:pPr>
        <w:jc w:val="both"/>
        <w:rPr>
          <w:sz w:val="24"/>
          <w:szCs w:val="24"/>
        </w:rPr>
      </w:pPr>
      <w:r>
        <w:rPr>
          <w:sz w:val="24"/>
          <w:szCs w:val="24"/>
        </w:rPr>
        <w:t>Vyřazeny budou automaticky všechny nabídky, které nesplňují požadavky uvedené v zadávací dokumentaci, obsahují nepravdivé údaje či jsou předložené po termínu určeném pro podávání nabídek.</w:t>
      </w:r>
    </w:p>
    <w:p w:rsidR="00BE420C" w:rsidRDefault="00BE420C" w:rsidP="0042139F">
      <w:pPr>
        <w:jc w:val="both"/>
        <w:rPr>
          <w:sz w:val="24"/>
          <w:szCs w:val="24"/>
        </w:rPr>
      </w:pPr>
      <w:r>
        <w:rPr>
          <w:sz w:val="24"/>
          <w:szCs w:val="24"/>
        </w:rPr>
        <w:t>Poslední fází je zhodnocení nabídek ceny.</w:t>
      </w:r>
    </w:p>
    <w:p w:rsidR="009C1698" w:rsidRDefault="009C1698" w:rsidP="0042139F">
      <w:pPr>
        <w:jc w:val="both"/>
        <w:rPr>
          <w:sz w:val="24"/>
          <w:szCs w:val="24"/>
        </w:rPr>
      </w:pPr>
    </w:p>
    <w:p w:rsidR="00BE420C" w:rsidRPr="00B11B4C" w:rsidRDefault="00BE420C" w:rsidP="00F954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HODNOCENÍ</w:t>
      </w:r>
    </w:p>
    <w:p w:rsidR="00BE420C" w:rsidRDefault="00BE420C" w:rsidP="0093229C">
      <w:pPr>
        <w:jc w:val="both"/>
        <w:rPr>
          <w:sz w:val="24"/>
          <w:szCs w:val="24"/>
        </w:rPr>
      </w:pPr>
      <w:r>
        <w:rPr>
          <w:sz w:val="24"/>
          <w:szCs w:val="24"/>
        </w:rPr>
        <w:t>Nabídky budou hodnoceny dle ceny:</w:t>
      </w:r>
    </w:p>
    <w:p w:rsidR="00BE420C" w:rsidRPr="006D439D" w:rsidRDefault="00BE420C" w:rsidP="0093229C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>Vítězná bude ta nabídk</w:t>
      </w:r>
      <w:r w:rsidR="00426803" w:rsidRPr="006D439D">
        <w:rPr>
          <w:sz w:val="24"/>
          <w:szCs w:val="24"/>
        </w:rPr>
        <w:t>a, která nabídne nejnižší cenu pro danou oblast.</w:t>
      </w:r>
    </w:p>
    <w:p w:rsidR="002D7871" w:rsidRPr="00426803" w:rsidRDefault="009C1698" w:rsidP="00CC3816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>Hodnotit dle ceny se bude každá oblast zvlášť. Pokud se výběrového řízení zúčastní uchazeč, který podá nabídku na všechny tři oblasti, musí v nabídce rozdělit cenu dle těchto tří oblastí.</w:t>
      </w:r>
    </w:p>
    <w:p w:rsidR="002D7871" w:rsidRDefault="002D7871" w:rsidP="00CC3816">
      <w:pPr>
        <w:jc w:val="both"/>
        <w:rPr>
          <w:b/>
          <w:sz w:val="28"/>
          <w:szCs w:val="28"/>
        </w:rPr>
      </w:pPr>
    </w:p>
    <w:p w:rsidR="00BE420C" w:rsidRDefault="00BE420C" w:rsidP="00CC38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OBECNÉ INFORMACE K VÝBĚROVÉMU ŘÍZENÍ</w:t>
      </w:r>
    </w:p>
    <w:p w:rsidR="00BE420C" w:rsidRPr="006D439D" w:rsidRDefault="00BE420C" w:rsidP="00CC3816">
      <w:pPr>
        <w:jc w:val="both"/>
        <w:rPr>
          <w:sz w:val="24"/>
          <w:szCs w:val="24"/>
        </w:rPr>
      </w:pPr>
      <w:r w:rsidRPr="0086777E">
        <w:rPr>
          <w:sz w:val="24"/>
          <w:szCs w:val="24"/>
        </w:rPr>
        <w:t>Výběrové řízení se řídí</w:t>
      </w:r>
      <w:r w:rsidRPr="0086777E">
        <w:rPr>
          <w:rFonts w:cs="Arial"/>
          <w:sz w:val="24"/>
          <w:szCs w:val="24"/>
        </w:rPr>
        <w:t xml:space="preserve"> příručkou pro příjemce Operačního programu Vzdělávání pro konkurenceschopnost </w:t>
      </w:r>
      <w:r>
        <w:rPr>
          <w:rFonts w:cs="Arial"/>
          <w:sz w:val="24"/>
          <w:szCs w:val="24"/>
        </w:rPr>
        <w:t>v aktuální</w:t>
      </w:r>
      <w:r w:rsidRPr="0086777E">
        <w:rPr>
          <w:rFonts w:cs="Arial"/>
          <w:sz w:val="24"/>
          <w:szCs w:val="24"/>
        </w:rPr>
        <w:t xml:space="preserve"> verzi 6. </w:t>
      </w:r>
      <w:r>
        <w:rPr>
          <w:sz w:val="24"/>
          <w:szCs w:val="24"/>
        </w:rPr>
        <w:t xml:space="preserve">Vítězný uchazeč musí na všech dokumentech </w:t>
      </w:r>
      <w:r w:rsidRPr="006D439D">
        <w:rPr>
          <w:sz w:val="24"/>
          <w:szCs w:val="24"/>
        </w:rPr>
        <w:t>souvisejících s realizací vzdělávacích</w:t>
      </w:r>
      <w:r w:rsidR="00426803" w:rsidRPr="006D439D">
        <w:rPr>
          <w:sz w:val="24"/>
          <w:szCs w:val="24"/>
        </w:rPr>
        <w:t xml:space="preserve"> programů uvádět </w:t>
      </w:r>
      <w:proofErr w:type="spellStart"/>
      <w:r w:rsidR="00426803" w:rsidRPr="006D439D">
        <w:rPr>
          <w:sz w:val="24"/>
          <w:szCs w:val="24"/>
        </w:rPr>
        <w:t>logolink</w:t>
      </w:r>
      <w:proofErr w:type="spellEnd"/>
      <w:r w:rsidR="00426803" w:rsidRPr="006D439D">
        <w:rPr>
          <w:sz w:val="24"/>
          <w:szCs w:val="24"/>
        </w:rPr>
        <w:t xml:space="preserve"> OP VK.</w:t>
      </w:r>
    </w:p>
    <w:p w:rsidR="00BE420C" w:rsidRPr="00D45A3F" w:rsidRDefault="00BE420C" w:rsidP="00CC3816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>Každý uchazeč může zaslat zadavateli pouze jednu nabídku</w:t>
      </w:r>
      <w:r w:rsidR="00426803" w:rsidRPr="006D439D">
        <w:rPr>
          <w:sz w:val="24"/>
          <w:szCs w:val="24"/>
        </w:rPr>
        <w:t>, ve které bude specifikováno, kterých oblastí VŘ se účastní</w:t>
      </w:r>
      <w:r w:rsidRPr="006D439D">
        <w:rPr>
          <w:sz w:val="24"/>
          <w:szCs w:val="24"/>
        </w:rPr>
        <w:t xml:space="preserve">. Nabídka musí být sepsána v českém jazyce a musí splňovat všechny předpoklady, které </w:t>
      </w:r>
      <w:r w:rsidR="00194BD7" w:rsidRPr="006D439D">
        <w:rPr>
          <w:sz w:val="24"/>
          <w:szCs w:val="24"/>
        </w:rPr>
        <w:t>jsou specifikovány příručkou OP VK</w:t>
      </w:r>
      <w:r w:rsidRPr="006D439D">
        <w:rPr>
          <w:sz w:val="24"/>
          <w:szCs w:val="24"/>
        </w:rPr>
        <w:t xml:space="preserve">. Nabídka musí obsahovat název a registrační číslo projektu, identifikační údaje uchazeče (název, sídlo, právní forma, identifikační číslo, DIČ, kontaktní osobu), </w:t>
      </w:r>
      <w:r w:rsidR="00194BD7" w:rsidRPr="006D439D">
        <w:rPr>
          <w:sz w:val="24"/>
          <w:szCs w:val="24"/>
        </w:rPr>
        <w:t>osnovu a popis nabízených kurzů,</w:t>
      </w:r>
      <w:r w:rsidRPr="006D439D">
        <w:rPr>
          <w:sz w:val="24"/>
          <w:szCs w:val="24"/>
        </w:rPr>
        <w:t xml:space="preserve"> metody výuky</w:t>
      </w:r>
      <w:r w:rsidR="00194BD7" w:rsidRPr="006D439D">
        <w:rPr>
          <w:sz w:val="24"/>
          <w:szCs w:val="24"/>
        </w:rPr>
        <w:t>. Dále musí obsahovat vzor prezenční listiny</w:t>
      </w:r>
      <w:r w:rsidRPr="006D439D">
        <w:rPr>
          <w:sz w:val="24"/>
          <w:szCs w:val="24"/>
        </w:rPr>
        <w:t xml:space="preserve"> a způsob zajištění zpětné vazby</w:t>
      </w:r>
      <w:r w:rsidR="00194BD7" w:rsidRPr="006D439D">
        <w:rPr>
          <w:sz w:val="24"/>
          <w:szCs w:val="24"/>
        </w:rPr>
        <w:t xml:space="preserve"> (hodnotící dotazníky)</w:t>
      </w:r>
      <w:r w:rsidRPr="006D439D">
        <w:rPr>
          <w:sz w:val="24"/>
          <w:szCs w:val="24"/>
        </w:rPr>
        <w:t>, vzor minimálně jednoho podkladu pro školení a jednoho pokladu pro zjištění zpětné vazby</w:t>
      </w:r>
      <w:r w:rsidR="00194BD7" w:rsidRPr="006D439D">
        <w:rPr>
          <w:sz w:val="24"/>
          <w:szCs w:val="24"/>
        </w:rPr>
        <w:t>. Tyto podklady pak budou sloužit účastníkům na školení. V nabídce bude</w:t>
      </w:r>
      <w:r w:rsidRPr="006D439D">
        <w:rPr>
          <w:sz w:val="24"/>
          <w:szCs w:val="24"/>
        </w:rPr>
        <w:t xml:space="preserve"> </w:t>
      </w:r>
      <w:r w:rsidR="00194BD7" w:rsidRPr="006D439D">
        <w:rPr>
          <w:sz w:val="24"/>
          <w:szCs w:val="24"/>
        </w:rPr>
        <w:t>cenová kalkulace (rozdělená</w:t>
      </w:r>
      <w:r w:rsidRPr="006D439D">
        <w:rPr>
          <w:sz w:val="24"/>
          <w:szCs w:val="24"/>
        </w:rPr>
        <w:t xml:space="preserve"> na ceny za </w:t>
      </w:r>
      <w:r w:rsidR="00194BD7" w:rsidRPr="006D439D">
        <w:rPr>
          <w:sz w:val="24"/>
          <w:szCs w:val="24"/>
        </w:rPr>
        <w:t>jednotlivé kurzy, tak i celková cena rozdělena dle</w:t>
      </w:r>
      <w:r w:rsidR="00194BD7">
        <w:rPr>
          <w:sz w:val="24"/>
          <w:szCs w:val="24"/>
        </w:rPr>
        <w:t xml:space="preserve"> </w:t>
      </w:r>
      <w:r w:rsidR="00194BD7" w:rsidRPr="006D439D">
        <w:rPr>
          <w:sz w:val="24"/>
          <w:szCs w:val="24"/>
        </w:rPr>
        <w:lastRenderedPageBreak/>
        <w:t>oblasti</w:t>
      </w:r>
      <w:r w:rsidRPr="006D439D">
        <w:rPr>
          <w:sz w:val="24"/>
          <w:szCs w:val="24"/>
        </w:rPr>
        <w:t>), podepsaný návrh smlouvy na realizaci služeb se všemi podstatnými náležitostmi (označení smluvních stran, název a číslo projektu, cena, platební podmínky,…), akreditaci instituce pro DVPP a akreditaci jednotlivých kurzů</w:t>
      </w:r>
      <w:r w:rsidR="00194BD7" w:rsidRPr="006D439D">
        <w:rPr>
          <w:sz w:val="24"/>
          <w:szCs w:val="24"/>
        </w:rPr>
        <w:t>, nebo prohlášení o dodání akreditace do daného termínu</w:t>
      </w:r>
      <w:r w:rsidRPr="006D439D">
        <w:rPr>
          <w:sz w:val="24"/>
          <w:szCs w:val="24"/>
        </w:rPr>
        <w:t>.</w:t>
      </w:r>
    </w:p>
    <w:p w:rsidR="00BE420C" w:rsidRPr="00D76E3C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musí k nabídce doložit kvalifikační požadavky, a to prostou kopii výpisu z obchodního rejstříku nebo jiné podobné evidence, která není starší než 3 měsíce a </w:t>
      </w:r>
      <w:r w:rsidRPr="00D76E3C">
        <w:rPr>
          <w:sz w:val="24"/>
          <w:szCs w:val="24"/>
        </w:rPr>
        <w:t>čestné prohlášení o neexistenci daňových nedoplatků nebo penále na pojistném na veřejném zdravotním pojištění a na sociálním zabezpečení (a to jak v ČR, nebo v místě, kde je sídlo společnosti, místo po</w:t>
      </w:r>
      <w:r>
        <w:rPr>
          <w:sz w:val="24"/>
          <w:szCs w:val="24"/>
        </w:rPr>
        <w:t xml:space="preserve">dnikání nebo bydliště uchazeče). </w:t>
      </w:r>
    </w:p>
    <w:p w:rsidR="00BE420C" w:rsidRDefault="00BE420C" w:rsidP="00CC3816">
      <w:pPr>
        <w:jc w:val="both"/>
        <w:rPr>
          <w:sz w:val="24"/>
          <w:szCs w:val="24"/>
        </w:rPr>
      </w:pPr>
      <w:r w:rsidRPr="006D439D">
        <w:rPr>
          <w:sz w:val="24"/>
          <w:szCs w:val="24"/>
        </w:rPr>
        <w:t>Dotazy k zadávací dokumentaci je možné zasílat pouze formou e-mailu na kontaktní osobu, na telefonické dotazy není možné kvůli transparentnosti řízení odpovídat. Dotazy budou zodpovězené do 3 pracovních dnů a odpověď bude zaslána všem osloveným uchazečům</w:t>
      </w:r>
      <w:r w:rsidR="00F536CC" w:rsidRPr="006D439D">
        <w:rPr>
          <w:sz w:val="24"/>
          <w:szCs w:val="24"/>
        </w:rPr>
        <w:t xml:space="preserve"> a vyvěšena na stránkách krajského úřadu</w:t>
      </w:r>
      <w:r w:rsidRPr="006D439D">
        <w:rPr>
          <w:sz w:val="24"/>
          <w:szCs w:val="24"/>
        </w:rPr>
        <w:t>.</w:t>
      </w:r>
    </w:p>
    <w:p w:rsidR="00BE420C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>Uchazeč nemůže vymáhat proplácení nákladů, které mu vznikly v souvislosti se zpracováním a podáním nabídky. Uchazeč je svou nabídkou vázán 30 kalendářních dní od skončení lhůty pro příjem nabídek. Uchazeč musí umožnit kontrolu podkladů souvisejících s projektem a také musí dodržovat podmínky pro archivaci, která je stanovena minimálně do roku 2025 (v případě, že český právní řád nestanovuje lhůtu delší). Dokumenty budou archivovány v souladu se zákonem č. 563/1991 Sb., o účetnictví a zákonem č. 235/2004 Sb., o dani z přidané hodnoty.</w:t>
      </w:r>
    </w:p>
    <w:p w:rsidR="00BE420C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>Zadavatel si vyhrazuje právo na změnu či úpravu požadavků stanovených v této zadávací zprávě a výzvě a to jak z vlastního podnětu nebo na žádost od uchazečů ohledně ujasnění výzvy. Zadavatel také může kdykoliv do podpisu smlouvy zrušit výběrové řízení a to bez udání důvodu. Pokud se tak rozhodne, sdělí to neprodleně všem uchazečům a vyvěsí informaci na stránkách krajského úřadu.</w:t>
      </w:r>
    </w:p>
    <w:p w:rsidR="0015084E" w:rsidRDefault="00BE420C" w:rsidP="00932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platby za poptávané služby budou hrazeny bezhotovostním převodem na základě vystavených faktur. Každá faktura musí splňovat všechny podstatné náležitosti řádného daňového dokladu a náležitosti vyplývající z projektu. </w:t>
      </w:r>
    </w:p>
    <w:p w:rsidR="00BE420C" w:rsidRDefault="00BE420C" w:rsidP="00932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Znojmě dne </w:t>
      </w:r>
      <w:r w:rsidR="006D439D">
        <w:rPr>
          <w:sz w:val="24"/>
          <w:szCs w:val="24"/>
        </w:rPr>
        <w:t>6. 12. 2013</w:t>
      </w:r>
      <w:r>
        <w:rPr>
          <w:sz w:val="24"/>
          <w:szCs w:val="24"/>
        </w:rPr>
        <w:t xml:space="preserve">    </w:t>
      </w:r>
    </w:p>
    <w:p w:rsidR="0015084E" w:rsidRDefault="00BE420C" w:rsidP="00150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---------------------------------------------------------</w:t>
      </w:r>
    </w:p>
    <w:p w:rsidR="00BE420C" w:rsidRDefault="00BE420C" w:rsidP="0015084E">
      <w:pPr>
        <w:jc w:val="both"/>
        <w:rPr>
          <w:sz w:val="24"/>
          <w:szCs w:val="24"/>
        </w:rPr>
      </w:pPr>
      <w:r>
        <w:rPr>
          <w:sz w:val="24"/>
          <w:szCs w:val="24"/>
        </w:rPr>
        <w:t>PaedDr. Pavel Trulík</w:t>
      </w:r>
      <w:r w:rsidR="0015084E">
        <w:rPr>
          <w:sz w:val="24"/>
          <w:szCs w:val="24"/>
        </w:rPr>
        <w:t xml:space="preserve">, </w:t>
      </w:r>
      <w:bookmarkStart w:id="0" w:name="_GoBack"/>
      <w:bookmarkEnd w:id="0"/>
      <w:r>
        <w:rPr>
          <w:sz w:val="24"/>
          <w:szCs w:val="24"/>
        </w:rPr>
        <w:t xml:space="preserve">ředitel školy                                       </w:t>
      </w:r>
    </w:p>
    <w:sectPr w:rsidR="00BE420C" w:rsidSect="009118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3B" w:rsidRDefault="0037633B" w:rsidP="00DA580C">
      <w:pPr>
        <w:spacing w:after="0" w:line="240" w:lineRule="auto"/>
      </w:pPr>
      <w:r>
        <w:separator/>
      </w:r>
    </w:p>
  </w:endnote>
  <w:endnote w:type="continuationSeparator" w:id="0">
    <w:p w:rsidR="0037633B" w:rsidRDefault="0037633B" w:rsidP="00DA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3B" w:rsidRDefault="0037633B" w:rsidP="00DA580C">
      <w:pPr>
        <w:spacing w:after="0" w:line="240" w:lineRule="auto"/>
      </w:pPr>
      <w:r>
        <w:separator/>
      </w:r>
    </w:p>
  </w:footnote>
  <w:footnote w:type="continuationSeparator" w:id="0">
    <w:p w:rsidR="0037633B" w:rsidRDefault="0037633B" w:rsidP="00DA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CC" w:rsidRDefault="00F536CC">
    <w:pPr>
      <w:pStyle w:val="Zhlav"/>
    </w:pPr>
    <w:r>
      <w:rPr>
        <w:noProof/>
        <w:lang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208280</wp:posOffset>
          </wp:positionV>
          <wp:extent cx="6086475" cy="1485900"/>
          <wp:effectExtent l="19050" t="0" r="952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F536CC" w:rsidRDefault="00F536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188"/>
    <w:multiLevelType w:val="hybridMultilevel"/>
    <w:tmpl w:val="8D4894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F43FC"/>
    <w:multiLevelType w:val="hybridMultilevel"/>
    <w:tmpl w:val="ACBE77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D6FD3"/>
    <w:multiLevelType w:val="hybridMultilevel"/>
    <w:tmpl w:val="A23428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C55CBC"/>
    <w:multiLevelType w:val="hybridMultilevel"/>
    <w:tmpl w:val="D7A805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26C3F"/>
    <w:multiLevelType w:val="hybridMultilevel"/>
    <w:tmpl w:val="E5E2AD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F5D6B"/>
    <w:multiLevelType w:val="hybridMultilevel"/>
    <w:tmpl w:val="305813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6D4"/>
    <w:rsid w:val="00012510"/>
    <w:rsid w:val="000342D6"/>
    <w:rsid w:val="00035F9C"/>
    <w:rsid w:val="0004132C"/>
    <w:rsid w:val="00056306"/>
    <w:rsid w:val="000643C8"/>
    <w:rsid w:val="00091041"/>
    <w:rsid w:val="000C1F42"/>
    <w:rsid w:val="000C655E"/>
    <w:rsid w:val="000D327D"/>
    <w:rsid w:val="000E05A8"/>
    <w:rsid w:val="000F391A"/>
    <w:rsid w:val="001150DE"/>
    <w:rsid w:val="00121A37"/>
    <w:rsid w:val="00142F60"/>
    <w:rsid w:val="00146D1E"/>
    <w:rsid w:val="0015084E"/>
    <w:rsid w:val="00194BD7"/>
    <w:rsid w:val="001A3824"/>
    <w:rsid w:val="001B30FC"/>
    <w:rsid w:val="001E5E11"/>
    <w:rsid w:val="002060B7"/>
    <w:rsid w:val="002142BF"/>
    <w:rsid w:val="00227F60"/>
    <w:rsid w:val="002648AD"/>
    <w:rsid w:val="00277749"/>
    <w:rsid w:val="0029141B"/>
    <w:rsid w:val="002C1240"/>
    <w:rsid w:val="002D515A"/>
    <w:rsid w:val="002D7871"/>
    <w:rsid w:val="002E23ED"/>
    <w:rsid w:val="002F25D3"/>
    <w:rsid w:val="00321EFF"/>
    <w:rsid w:val="0034156E"/>
    <w:rsid w:val="00361649"/>
    <w:rsid w:val="0037633B"/>
    <w:rsid w:val="003B438A"/>
    <w:rsid w:val="0042139F"/>
    <w:rsid w:val="00426803"/>
    <w:rsid w:val="004560B9"/>
    <w:rsid w:val="00485035"/>
    <w:rsid w:val="004A0CD6"/>
    <w:rsid w:val="00530F0B"/>
    <w:rsid w:val="00545CB9"/>
    <w:rsid w:val="005511AC"/>
    <w:rsid w:val="00591913"/>
    <w:rsid w:val="005C059C"/>
    <w:rsid w:val="005F44D0"/>
    <w:rsid w:val="006225A1"/>
    <w:rsid w:val="00657736"/>
    <w:rsid w:val="00680EDD"/>
    <w:rsid w:val="00685269"/>
    <w:rsid w:val="006A33CA"/>
    <w:rsid w:val="006A607D"/>
    <w:rsid w:val="006A7728"/>
    <w:rsid w:val="006B481F"/>
    <w:rsid w:val="006C4FFF"/>
    <w:rsid w:val="006C7829"/>
    <w:rsid w:val="006D439D"/>
    <w:rsid w:val="006D4DFB"/>
    <w:rsid w:val="00701FE5"/>
    <w:rsid w:val="00711E94"/>
    <w:rsid w:val="007256AA"/>
    <w:rsid w:val="00746B88"/>
    <w:rsid w:val="007557AB"/>
    <w:rsid w:val="00780C83"/>
    <w:rsid w:val="007B04A4"/>
    <w:rsid w:val="007D350A"/>
    <w:rsid w:val="007D6186"/>
    <w:rsid w:val="007E13E8"/>
    <w:rsid w:val="007F17E1"/>
    <w:rsid w:val="007F4B49"/>
    <w:rsid w:val="00806173"/>
    <w:rsid w:val="00806487"/>
    <w:rsid w:val="00844ACC"/>
    <w:rsid w:val="00862E41"/>
    <w:rsid w:val="0086777E"/>
    <w:rsid w:val="008A1CDD"/>
    <w:rsid w:val="008D2959"/>
    <w:rsid w:val="008F0B63"/>
    <w:rsid w:val="0091180C"/>
    <w:rsid w:val="00920EF6"/>
    <w:rsid w:val="009310B6"/>
    <w:rsid w:val="0093229C"/>
    <w:rsid w:val="00937F91"/>
    <w:rsid w:val="009472BB"/>
    <w:rsid w:val="0095747F"/>
    <w:rsid w:val="009611AE"/>
    <w:rsid w:val="0097168E"/>
    <w:rsid w:val="00972218"/>
    <w:rsid w:val="009752D3"/>
    <w:rsid w:val="009924B9"/>
    <w:rsid w:val="0099563D"/>
    <w:rsid w:val="009C1698"/>
    <w:rsid w:val="009C1AD2"/>
    <w:rsid w:val="00A07D4B"/>
    <w:rsid w:val="00A1332D"/>
    <w:rsid w:val="00AC2DDB"/>
    <w:rsid w:val="00AF3A0D"/>
    <w:rsid w:val="00AF4AA3"/>
    <w:rsid w:val="00AF6902"/>
    <w:rsid w:val="00B11B4C"/>
    <w:rsid w:val="00B355C5"/>
    <w:rsid w:val="00B83667"/>
    <w:rsid w:val="00BA75E5"/>
    <w:rsid w:val="00BA7BAE"/>
    <w:rsid w:val="00BB5847"/>
    <w:rsid w:val="00BE36D4"/>
    <w:rsid w:val="00BE420C"/>
    <w:rsid w:val="00C255CA"/>
    <w:rsid w:val="00C33252"/>
    <w:rsid w:val="00C9653F"/>
    <w:rsid w:val="00CB1221"/>
    <w:rsid w:val="00CC3816"/>
    <w:rsid w:val="00CD00B1"/>
    <w:rsid w:val="00CE1F59"/>
    <w:rsid w:val="00D02654"/>
    <w:rsid w:val="00D370FB"/>
    <w:rsid w:val="00D45A3F"/>
    <w:rsid w:val="00D66C2B"/>
    <w:rsid w:val="00D76E3C"/>
    <w:rsid w:val="00D94931"/>
    <w:rsid w:val="00DA580C"/>
    <w:rsid w:val="00DB2FAC"/>
    <w:rsid w:val="00DB78AF"/>
    <w:rsid w:val="00DC3A2E"/>
    <w:rsid w:val="00DD1B79"/>
    <w:rsid w:val="00DF7522"/>
    <w:rsid w:val="00E01D04"/>
    <w:rsid w:val="00E25E63"/>
    <w:rsid w:val="00E54B16"/>
    <w:rsid w:val="00E91ADF"/>
    <w:rsid w:val="00EB5949"/>
    <w:rsid w:val="00F020B0"/>
    <w:rsid w:val="00F05C03"/>
    <w:rsid w:val="00F307BE"/>
    <w:rsid w:val="00F536CC"/>
    <w:rsid w:val="00F70F5F"/>
    <w:rsid w:val="00F95442"/>
    <w:rsid w:val="00FA20B5"/>
    <w:rsid w:val="00FD1A57"/>
    <w:rsid w:val="00FE5B3C"/>
    <w:rsid w:val="00FF772C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80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580C"/>
    <w:rPr>
      <w:rFonts w:cs="Times New Roman"/>
    </w:rPr>
  </w:style>
  <w:style w:type="paragraph" w:styleId="Zpat">
    <w:name w:val="footer"/>
    <w:basedOn w:val="Normln"/>
    <w:link w:val="ZpatChar"/>
    <w:uiPriority w:val="99"/>
    <w:rsid w:val="00DA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A580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58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563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05630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954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E05A8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razs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erar1</dc:creator>
  <cp:lastModifiedBy>Pavel Trulík</cp:lastModifiedBy>
  <cp:revision>17</cp:revision>
  <cp:lastPrinted>2013-12-10T11:03:00Z</cp:lastPrinted>
  <dcterms:created xsi:type="dcterms:W3CDTF">2013-11-14T07:21:00Z</dcterms:created>
  <dcterms:modified xsi:type="dcterms:W3CDTF">2013-12-10T11:04:00Z</dcterms:modified>
</cp:coreProperties>
</file>